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 и своем развитии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половых и гендерных различиях людей во внешнем виде, поведении, интересах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 может назвать членов своей семьи и своих ближайших родственников, о структуре семьи, семейных ролях и отношениях, событиях в 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правилами культуры поведения, в том числе и в общественных местах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начинает формироваться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 оценка себя как личности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малой родине, о государственной символике Российской Федерации, государственных праздниках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предметах, орудиях труда и их назначении, свойствах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содержании хозяйственно-бытового труда взрослых, трудовых действиях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результатах труда, профессиях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 правилах поведения в быту, в природе,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способах взаимодействия с животными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навыками безопасного обращения с бытовыми приборами и предметами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реальном общении с незнакомыми людьми и в телефонных разговорах с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 балл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7b7a5ff395442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